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center"/>
      </w:pPr>
      <w:r>
        <w:rPr>
          <w:lang w:eastAsia="ro-RO"/>
        </w:rPr>
        <w:drawing>
          <wp:inline distT="0" distB="0" distL="0" distR="0">
            <wp:extent cx="1724660" cy="977900"/>
            <wp:effectExtent l="0" t="0" r="889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761173" cy="998329"/>
                    </a:xfrm>
                    <a:prstGeom prst="rect">
                      <a:avLst/>
                    </a:prstGeom>
                    <a:noFill/>
                    <a:ln>
                      <a:noFill/>
                    </a:ln>
                  </pic:spPr>
                </pic:pic>
              </a:graphicData>
            </a:graphic>
          </wp:inline>
        </w:drawing>
      </w:r>
    </w:p>
    <w:p>
      <w:pPr>
        <w:spacing w:line="276" w:lineRule="auto"/>
        <w:jc w:val="center"/>
        <w:rPr>
          <w:rFonts w:ascii="Arial" w:hAnsi="Arial" w:cs="Arial"/>
          <w:b/>
          <w:sz w:val="18"/>
          <w:szCs w:val="18"/>
          <w:u w:val="single"/>
        </w:rPr>
      </w:pPr>
    </w:p>
    <w:p>
      <w:pPr>
        <w:spacing w:line="276" w:lineRule="auto"/>
        <w:jc w:val="center"/>
        <w:rPr>
          <w:rFonts w:ascii="Arial" w:hAnsi="Arial" w:cs="Arial"/>
          <w:b/>
          <w:sz w:val="18"/>
          <w:szCs w:val="18"/>
          <w:u w:val="single"/>
        </w:rPr>
      </w:pPr>
      <w:r>
        <w:rPr>
          <w:rFonts w:ascii="Arial" w:hAnsi="Arial" w:cs="Arial"/>
          <w:b/>
          <w:sz w:val="18"/>
          <w:szCs w:val="18"/>
          <w:u w:val="single"/>
        </w:rPr>
        <w:t>FIȘĂ TEHNICĂ – NY1350FRB</w:t>
      </w:r>
    </w:p>
    <w:p>
      <w:pPr>
        <w:rPr>
          <w:rFonts w:cstheme="minorHAnsi"/>
          <w:sz w:val="18"/>
          <w:szCs w:val="18"/>
        </w:rPr>
      </w:pPr>
      <w:bookmarkStart w:id="0" w:name="_GoBack"/>
      <w:r>
        <w:rPr>
          <w:rFonts w:cstheme="minorHAnsi"/>
          <w:sz w:val="18"/>
          <w:szCs w:val="18"/>
        </w:rPr>
        <w:drawing>
          <wp:anchor distT="0" distB="0" distL="114300" distR="114300" simplePos="0" relativeHeight="251662336" behindDoc="0" locked="0" layoutInCell="1" allowOverlap="1">
            <wp:simplePos x="0" y="0"/>
            <wp:positionH relativeFrom="column">
              <wp:posOffset>0</wp:posOffset>
            </wp:positionH>
            <wp:positionV relativeFrom="paragraph">
              <wp:posOffset>1270</wp:posOffset>
            </wp:positionV>
            <wp:extent cx="1244600" cy="1657985"/>
            <wp:effectExtent l="0" t="0" r="12700" b="18415"/>
            <wp:wrapSquare wrapText="bothSides"/>
            <wp:docPr id="4" name="Picture 4" descr="C:\Users\user01\Desktop\Produse\Manusi\Krima 510\krima 510.jpgkrima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user01\Desktop\Produse\Manusi\Krima 510\krima 510.jpgkrima 510"/>
                    <pic:cNvPicPr>
                      <a:picLocks noChangeAspect="1"/>
                    </pic:cNvPicPr>
                  </pic:nvPicPr>
                  <pic:blipFill>
                    <a:blip r:embed="rId7"/>
                    <a:srcRect/>
                    <a:stretch>
                      <a:fillRect/>
                    </a:stretch>
                  </pic:blipFill>
                  <pic:spPr>
                    <a:xfrm>
                      <a:off x="0" y="0"/>
                      <a:ext cx="1244600" cy="1657985"/>
                    </a:xfrm>
                    <a:prstGeom prst="rect">
                      <a:avLst/>
                    </a:prstGeom>
                  </pic:spPr>
                </pic:pic>
              </a:graphicData>
            </a:graphic>
          </wp:anchor>
        </w:drawing>
      </w:r>
      <w:bookmarkEnd w:id="0"/>
    </w:p>
    <w:p>
      <w:r>
        <w:rPr>
          <w:rFonts w:cstheme="minorHAnsi"/>
          <w:sz w:val="18"/>
          <w:szCs w:val="18"/>
        </w:rPr>
        <w:t>Mănuși de protecție antităiere, categoria II PPE –</w:t>
      </w:r>
      <w:r>
        <w:rPr>
          <w:rFonts w:cstheme="minorHAnsi"/>
          <w:b/>
          <w:sz w:val="18"/>
          <w:szCs w:val="18"/>
        </w:rPr>
        <w:t xml:space="preserve"> Mănuși antităiere KRIMA 510 </w:t>
      </w:r>
    </w:p>
    <w:p>
      <w:pPr>
        <w:spacing w:after="120" w:line="276" w:lineRule="auto"/>
        <w:jc w:val="both"/>
        <w:rPr>
          <w:rFonts w:cstheme="minorHAnsi"/>
          <w:sz w:val="18"/>
          <w:szCs w:val="18"/>
        </w:rPr>
      </w:pPr>
    </w:p>
    <w:p>
      <w:pPr>
        <w:spacing w:after="120" w:line="276" w:lineRule="auto"/>
        <w:jc w:val="both"/>
        <w:rPr>
          <w:rFonts w:eastAsia="Times New Roman" w:cstheme="minorHAnsi"/>
          <w:color w:val="333333"/>
          <w:sz w:val="18"/>
          <w:szCs w:val="18"/>
          <w:lang w:eastAsia="ro-RO"/>
        </w:rPr>
      </w:pPr>
      <w:r>
        <w:rPr>
          <w:rFonts w:cstheme="minorHAnsi"/>
          <w:b/>
          <w:sz w:val="18"/>
          <w:szCs w:val="18"/>
          <w:lang w:eastAsia="en-GB"/>
        </w:rPr>
        <w:t>Descriere</w:t>
      </w:r>
      <w:r>
        <w:rPr>
          <w:rFonts w:cstheme="minorHAnsi"/>
          <w:sz w:val="18"/>
          <w:szCs w:val="18"/>
          <w:lang w:eastAsia="en-GB"/>
        </w:rPr>
        <w:t xml:space="preserve">: </w:t>
      </w:r>
      <w:r>
        <w:rPr>
          <w:rFonts w:eastAsia="Times New Roman" w:cstheme="minorHAnsi"/>
          <w:color w:val="333333"/>
          <w:sz w:val="18"/>
          <w:szCs w:val="18"/>
          <w:lang w:eastAsia="ro-RO"/>
        </w:rPr>
        <w:t xml:space="preserve">Mănușile de protecție Krima 510 sunt confecționate din fibre sintetice și sunt acoperite cu polimer pe bază de apă. Ușoare, respirabile și cu un nivel maxim de durabilitate, mănușile aduc un plus de confort și protecție. Acestea sunt recomandate pentru industria auto, mecanică, sortare piese mici, asamblare de precizie, ambalare, manipulare în zone de depozitare, întreținere, construcții, pregătirea suprafețelor. </w:t>
      </w:r>
      <w:r>
        <w:rPr>
          <w:rFonts w:cstheme="minorHAnsi"/>
          <w:sz w:val="18"/>
          <w:szCs w:val="18"/>
          <w:lang w:eastAsia="en-GB"/>
        </w:rPr>
        <w:t>Mărimi disponibile 7, 8, 9 și 10. Culoare: negru/verde.</w:t>
      </w:r>
      <w:r>
        <w:rPr>
          <w:rFonts w:eastAsia="Times New Roman" w:cstheme="minorHAnsi"/>
          <w:color w:val="333333"/>
          <w:sz w:val="18"/>
          <w:szCs w:val="18"/>
          <w:lang w:eastAsia="ro-RO"/>
        </w:rPr>
        <w:t xml:space="preserve"> </w:t>
      </w:r>
      <w:r>
        <w:rPr>
          <w:rFonts w:cstheme="minorHAnsi"/>
          <w:sz w:val="18"/>
          <w:szCs w:val="18"/>
          <w:lang w:eastAsia="en-GB"/>
        </w:rPr>
        <w:t>Mănuși de protecție, pentru protecție împotriva agresiunii fizice și mecanice cauzate prin abraziune, rupere, înțepare și tăiere cauzate de obiecte ascuțite și protecție la impact (EN388:2016).</w:t>
      </w:r>
    </w:p>
    <w:p>
      <w:pPr>
        <w:spacing w:after="0" w:line="276" w:lineRule="auto"/>
        <w:jc w:val="both"/>
        <w:rPr>
          <w:rFonts w:cstheme="minorHAnsi"/>
          <w:sz w:val="18"/>
          <w:szCs w:val="18"/>
          <w:lang w:eastAsia="en-GB"/>
        </w:rPr>
      </w:pPr>
      <w:r>
        <w:rPr>
          <w:rFonts w:cstheme="minorHAnsi"/>
          <w:b/>
          <w:sz w:val="18"/>
          <w:szCs w:val="18"/>
          <w:lang w:eastAsia="en-GB"/>
        </w:rPr>
        <w:t>Marcarea mănușilor</w:t>
      </w:r>
      <w:r>
        <w:rPr>
          <w:rFonts w:cstheme="minorHAnsi"/>
          <w:sz w:val="18"/>
          <w:szCs w:val="18"/>
          <w:lang w:eastAsia="en-GB"/>
        </w:rPr>
        <w:t>:</w:t>
      </w:r>
    </w:p>
    <w:p>
      <w:pPr>
        <w:spacing w:after="0" w:line="276" w:lineRule="auto"/>
        <w:ind w:left="357"/>
        <w:jc w:val="both"/>
        <w:rPr>
          <w:rFonts w:cstheme="minorHAnsi"/>
          <w:sz w:val="18"/>
          <w:szCs w:val="18"/>
          <w:lang w:eastAsia="en-GB"/>
        </w:rPr>
      </w:pPr>
    </w:p>
    <w:p>
      <w:pPr>
        <w:spacing w:after="0" w:line="276" w:lineRule="auto"/>
        <w:jc w:val="both"/>
        <w:rPr>
          <w:rFonts w:cstheme="minorHAnsi"/>
          <w:b/>
          <w:sz w:val="18"/>
          <w:szCs w:val="18"/>
          <w:lang w:eastAsia="en-GB"/>
        </w:rPr>
      </w:pPr>
      <w:r>
        <w:rPr>
          <w:rFonts w:cstheme="minorHAnsi"/>
          <w:sz w:val="18"/>
          <w:szCs w:val="18"/>
          <w:lang w:eastAsia="ro-RO"/>
        </w:rPr>
        <w:drawing>
          <wp:anchor distT="0" distB="0" distL="114300" distR="114300" simplePos="0" relativeHeight="251659264" behindDoc="0" locked="0" layoutInCell="1" allowOverlap="1">
            <wp:simplePos x="0" y="0"/>
            <wp:positionH relativeFrom="margin">
              <wp:posOffset>5464175</wp:posOffset>
            </wp:positionH>
            <wp:positionV relativeFrom="margin">
              <wp:posOffset>3763645</wp:posOffset>
            </wp:positionV>
            <wp:extent cx="866775" cy="647065"/>
            <wp:effectExtent l="0" t="0" r="9525" b="635"/>
            <wp:wrapSquare wrapText="bothSides"/>
            <wp:docPr id="5" name="Imagine 5" descr="C:\Users\user\Desktop\MANUSI\I atention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5" descr="C:\Users\user\Desktop\MANUSI\I atentiona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66775" cy="647065"/>
                    </a:xfrm>
                    <a:prstGeom prst="rect">
                      <a:avLst/>
                    </a:prstGeom>
                    <a:noFill/>
                    <a:ln>
                      <a:noFill/>
                    </a:ln>
                  </pic:spPr>
                </pic:pic>
              </a:graphicData>
            </a:graphic>
          </wp:anchor>
        </w:drawing>
      </w:r>
      <w:r>
        <w:rPr>
          <w:rFonts w:cstheme="minorHAnsi"/>
          <w:b/>
          <w:sz w:val="18"/>
          <w:szCs w:val="18"/>
          <w:lang w:eastAsia="ro-RO"/>
        </w:rPr>
        <w:drawing>
          <wp:anchor distT="0" distB="0" distL="114300" distR="114300" simplePos="0" relativeHeight="251660288" behindDoc="0" locked="0" layoutInCell="1" allowOverlap="1">
            <wp:simplePos x="0" y="0"/>
            <wp:positionH relativeFrom="margin">
              <wp:posOffset>2776220</wp:posOffset>
            </wp:positionH>
            <wp:positionV relativeFrom="margin">
              <wp:posOffset>3764280</wp:posOffset>
            </wp:positionV>
            <wp:extent cx="866775" cy="647065"/>
            <wp:effectExtent l="0" t="0" r="9525" b="635"/>
            <wp:wrapSquare wrapText="bothSides"/>
            <wp:docPr id="7" name="Imagine 7" descr="C:\Users\user\Desktop\MANUSI\EN 388 B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7" descr="C:\Users\user\Desktop\MANUSI\EN 388 BU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66775" cy="647065"/>
                    </a:xfrm>
                    <a:prstGeom prst="rect">
                      <a:avLst/>
                    </a:prstGeom>
                    <a:noFill/>
                    <a:ln>
                      <a:noFill/>
                    </a:ln>
                  </pic:spPr>
                </pic:pic>
              </a:graphicData>
            </a:graphic>
          </wp:anchor>
        </w:drawing>
      </w:r>
      <w:r>
        <w:rPr>
          <w:rFonts w:cstheme="minorHAnsi"/>
          <w:sz w:val="18"/>
          <w:szCs w:val="18"/>
          <w:lang w:eastAsia="ro-RO"/>
        </w:rPr>
        <w:drawing>
          <wp:anchor distT="0" distB="0" distL="114300" distR="114300" simplePos="0" relativeHeight="251661312" behindDoc="0" locked="0" layoutInCell="1" allowOverlap="1">
            <wp:simplePos x="0" y="0"/>
            <wp:positionH relativeFrom="margin">
              <wp:posOffset>270510</wp:posOffset>
            </wp:positionH>
            <wp:positionV relativeFrom="margin">
              <wp:posOffset>3747770</wp:posOffset>
            </wp:positionV>
            <wp:extent cx="1028700" cy="610870"/>
            <wp:effectExtent l="0" t="0" r="0" b="0"/>
            <wp:wrapSquare wrapText="bothSides"/>
            <wp:docPr id="3" name="Imagine 3" descr="C:\Users\user\Desktop\MANUSI\ce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3" descr="C:\Users\user\Desktop\MANUSI\ce of.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028700" cy="610870"/>
                    </a:xfrm>
                    <a:prstGeom prst="rect">
                      <a:avLst/>
                    </a:prstGeom>
                    <a:noFill/>
                    <a:ln>
                      <a:noFill/>
                    </a:ln>
                  </pic:spPr>
                </pic:pic>
              </a:graphicData>
            </a:graphic>
          </wp:anchor>
        </w:drawing>
      </w:r>
    </w:p>
    <w:p>
      <w:pPr>
        <w:spacing w:after="0" w:line="276" w:lineRule="auto"/>
        <w:jc w:val="both"/>
        <w:rPr>
          <w:rFonts w:cstheme="minorHAnsi"/>
          <w:b/>
          <w:sz w:val="18"/>
          <w:szCs w:val="18"/>
          <w:lang w:eastAsia="en-GB"/>
        </w:rPr>
      </w:pPr>
    </w:p>
    <w:p>
      <w:pPr>
        <w:spacing w:after="0" w:line="276" w:lineRule="auto"/>
        <w:jc w:val="both"/>
        <w:rPr>
          <w:rFonts w:cstheme="minorHAnsi"/>
          <w:b/>
          <w:sz w:val="18"/>
          <w:szCs w:val="18"/>
          <w:lang w:eastAsia="en-GB"/>
        </w:rPr>
      </w:pPr>
    </w:p>
    <w:p>
      <w:pPr>
        <w:spacing w:after="0" w:line="276" w:lineRule="auto"/>
        <w:jc w:val="both"/>
        <w:rPr>
          <w:rFonts w:cstheme="minorHAnsi"/>
          <w:b/>
          <w:sz w:val="18"/>
          <w:szCs w:val="18"/>
          <w:lang w:eastAsia="en-GB"/>
        </w:rPr>
      </w:pPr>
    </w:p>
    <w:p>
      <w:pPr>
        <w:spacing w:after="0" w:line="276" w:lineRule="auto"/>
        <w:jc w:val="both"/>
        <w:rPr>
          <w:rFonts w:cstheme="minorHAnsi"/>
          <w:sz w:val="18"/>
          <w:szCs w:val="18"/>
          <w:lang w:eastAsia="en-GB"/>
        </w:rPr>
      </w:pPr>
    </w:p>
    <w:p>
      <w:pPr>
        <w:spacing w:after="120" w:line="276" w:lineRule="auto"/>
        <w:jc w:val="both"/>
        <w:rPr>
          <w:rFonts w:cstheme="minorHAnsi"/>
          <w:b/>
          <w:sz w:val="18"/>
          <w:szCs w:val="18"/>
          <w:lang w:eastAsia="en-GB"/>
        </w:rPr>
      </w:pPr>
    </w:p>
    <w:p>
      <w:pPr>
        <w:spacing w:after="120" w:line="276" w:lineRule="auto"/>
        <w:jc w:val="both"/>
        <w:rPr>
          <w:rFonts w:cstheme="minorHAnsi"/>
          <w:sz w:val="18"/>
          <w:szCs w:val="18"/>
          <w:lang w:eastAsia="en-GB"/>
        </w:rPr>
      </w:pPr>
      <w:r>
        <w:rPr>
          <w:rFonts w:cstheme="minorHAnsi"/>
          <w:b/>
          <w:sz w:val="18"/>
          <w:szCs w:val="18"/>
          <w:lang w:eastAsia="en-GB"/>
        </w:rPr>
        <w:t>Performanțele</w:t>
      </w:r>
      <w:r>
        <w:rPr>
          <w:rFonts w:cstheme="minorHAnsi"/>
          <w:sz w:val="18"/>
          <w:szCs w:val="18"/>
          <w:lang w:eastAsia="en-GB"/>
        </w:rPr>
        <w:t xml:space="preserve"> sunt în conformitate cu specificațiile standardelor:</w:t>
      </w:r>
      <w:r>
        <w:rPr>
          <w:rFonts w:cstheme="minorHAnsi"/>
          <w:b/>
          <w:sz w:val="18"/>
          <w:szCs w:val="18"/>
          <w:lang w:eastAsia="en-GB"/>
        </w:rPr>
        <w:t xml:space="preserve"> EN 420:2003+A1:2009 (EN 420:2003+A1:2009) </w:t>
      </w:r>
      <w:r>
        <w:rPr>
          <w:rFonts w:cstheme="minorHAnsi"/>
          <w:sz w:val="18"/>
          <w:szCs w:val="18"/>
          <w:lang w:eastAsia="en-GB"/>
        </w:rPr>
        <w:t>– toate cerințele cu dexteritate – nivel de performanță 5 (din maxim 5) și</w:t>
      </w:r>
      <w:r>
        <w:rPr>
          <w:rFonts w:cstheme="minorHAnsi"/>
          <w:b/>
          <w:sz w:val="18"/>
          <w:szCs w:val="18"/>
          <w:lang w:eastAsia="en-GB"/>
        </w:rPr>
        <w:t xml:space="preserve"> EN 388:2016 (EN 388: 2016)</w:t>
      </w:r>
      <w:r>
        <w:rPr>
          <w:rFonts w:cstheme="minorHAnsi"/>
          <w:sz w:val="18"/>
          <w:szCs w:val="18"/>
          <w:lang w:eastAsia="en-GB"/>
        </w:rPr>
        <w:t>, niveluri de performanță ,,</w:t>
      </w:r>
      <w:r>
        <w:rPr>
          <w:rFonts w:cstheme="minorHAnsi"/>
          <w:b/>
          <w:sz w:val="18"/>
          <w:szCs w:val="18"/>
          <w:lang w:eastAsia="en-GB"/>
        </w:rPr>
        <w:t>4121X</w:t>
      </w:r>
      <w:r>
        <w:rPr>
          <w:rFonts w:cstheme="minorHAnsi"/>
          <w:sz w:val="18"/>
          <w:szCs w:val="18"/>
          <w:lang w:eastAsia="en-GB"/>
        </w:rPr>
        <w:t>,,.  Semnificația nivelurilor de performanță este conform tabelului următor:</w:t>
      </w:r>
    </w:p>
    <w:tbl>
      <w:tblPr>
        <w:tblStyle w:val="5"/>
        <w:tblW w:w="103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4488"/>
        <w:gridCol w:w="807"/>
        <w:gridCol w:w="808"/>
        <w:gridCol w:w="807"/>
        <w:gridCol w:w="808"/>
        <w:gridCol w:w="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838" w:type="dxa"/>
          </w:tcPr>
          <w:p>
            <w:pPr>
              <w:spacing w:after="0" w:line="276" w:lineRule="auto"/>
              <w:jc w:val="center"/>
              <w:rPr>
                <w:rFonts w:cstheme="minorHAnsi"/>
                <w:b/>
                <w:sz w:val="18"/>
                <w:szCs w:val="18"/>
                <w:lang w:eastAsia="en-GB"/>
              </w:rPr>
            </w:pPr>
            <w:r>
              <w:rPr>
                <w:rFonts w:cstheme="minorHAnsi"/>
                <w:b/>
                <w:sz w:val="18"/>
                <w:szCs w:val="18"/>
                <w:lang w:eastAsia="en-GB"/>
              </w:rPr>
              <w:t>Standard de referință</w:t>
            </w:r>
          </w:p>
        </w:tc>
        <w:tc>
          <w:tcPr>
            <w:tcW w:w="4488" w:type="dxa"/>
            <w:tcBorders>
              <w:bottom w:val="single" w:color="auto" w:sz="4" w:space="0"/>
            </w:tcBorders>
          </w:tcPr>
          <w:p>
            <w:pPr>
              <w:spacing w:before="120" w:after="0" w:line="276" w:lineRule="auto"/>
              <w:rPr>
                <w:rFonts w:cstheme="minorHAnsi"/>
                <w:b/>
                <w:sz w:val="18"/>
                <w:szCs w:val="18"/>
                <w:lang w:eastAsia="en-GB"/>
              </w:rPr>
            </w:pPr>
            <w:r>
              <w:rPr>
                <w:rFonts w:cstheme="minorHAnsi"/>
                <w:b/>
                <w:sz w:val="18"/>
                <w:szCs w:val="18"/>
                <w:lang w:eastAsia="en-GB"/>
              </w:rPr>
              <w:t xml:space="preserve">Caracteristică, unitate de măsură </w:t>
            </w:r>
          </w:p>
        </w:tc>
        <w:tc>
          <w:tcPr>
            <w:tcW w:w="807" w:type="dxa"/>
            <w:tcBorders>
              <w:bottom w:val="single" w:color="auto" w:sz="4" w:space="0"/>
            </w:tcBorders>
          </w:tcPr>
          <w:p>
            <w:pPr>
              <w:spacing w:after="0" w:line="276" w:lineRule="auto"/>
              <w:jc w:val="center"/>
              <w:rPr>
                <w:rFonts w:cstheme="minorHAnsi"/>
                <w:b/>
                <w:sz w:val="18"/>
                <w:szCs w:val="18"/>
                <w:lang w:eastAsia="en-GB"/>
              </w:rPr>
            </w:pPr>
            <w:r>
              <w:rPr>
                <w:rFonts w:cstheme="minorHAnsi"/>
                <w:b/>
                <w:sz w:val="18"/>
                <w:szCs w:val="18"/>
                <w:lang w:eastAsia="en-GB"/>
              </w:rPr>
              <w:t>NIVEL 1</w:t>
            </w:r>
          </w:p>
        </w:tc>
        <w:tc>
          <w:tcPr>
            <w:tcW w:w="808" w:type="dxa"/>
            <w:tcBorders>
              <w:bottom w:val="single" w:color="auto" w:sz="4" w:space="0"/>
            </w:tcBorders>
          </w:tcPr>
          <w:p>
            <w:pPr>
              <w:spacing w:after="0" w:line="276" w:lineRule="auto"/>
              <w:jc w:val="center"/>
              <w:rPr>
                <w:rFonts w:cstheme="minorHAnsi"/>
                <w:sz w:val="18"/>
                <w:szCs w:val="18"/>
                <w:lang w:eastAsia="en-GB"/>
              </w:rPr>
            </w:pPr>
            <w:r>
              <w:rPr>
                <w:rFonts w:cstheme="minorHAnsi"/>
                <w:b/>
                <w:sz w:val="18"/>
                <w:szCs w:val="18"/>
                <w:lang w:eastAsia="en-GB"/>
              </w:rPr>
              <w:t>NIVEL 2</w:t>
            </w:r>
          </w:p>
        </w:tc>
        <w:tc>
          <w:tcPr>
            <w:tcW w:w="807" w:type="dxa"/>
            <w:tcBorders>
              <w:bottom w:val="single" w:color="auto" w:sz="4" w:space="0"/>
            </w:tcBorders>
          </w:tcPr>
          <w:p>
            <w:pPr>
              <w:spacing w:after="0" w:line="276" w:lineRule="auto"/>
              <w:jc w:val="center"/>
              <w:rPr>
                <w:rFonts w:cstheme="minorHAnsi"/>
                <w:sz w:val="18"/>
                <w:szCs w:val="18"/>
                <w:lang w:eastAsia="en-GB"/>
              </w:rPr>
            </w:pPr>
            <w:r>
              <w:rPr>
                <w:rFonts w:cstheme="minorHAnsi"/>
                <w:b/>
                <w:sz w:val="18"/>
                <w:szCs w:val="18"/>
                <w:lang w:eastAsia="en-GB"/>
              </w:rPr>
              <w:t>NIVEL 3</w:t>
            </w:r>
          </w:p>
        </w:tc>
        <w:tc>
          <w:tcPr>
            <w:tcW w:w="808" w:type="dxa"/>
            <w:tcBorders>
              <w:bottom w:val="single" w:color="auto" w:sz="4" w:space="0"/>
            </w:tcBorders>
          </w:tcPr>
          <w:p>
            <w:pPr>
              <w:spacing w:after="0" w:line="276" w:lineRule="auto"/>
              <w:jc w:val="center"/>
              <w:rPr>
                <w:rFonts w:cstheme="minorHAnsi"/>
                <w:sz w:val="18"/>
                <w:szCs w:val="18"/>
                <w:lang w:eastAsia="en-GB"/>
              </w:rPr>
            </w:pPr>
            <w:r>
              <w:rPr>
                <w:rFonts w:cstheme="minorHAnsi"/>
                <w:b/>
                <w:sz w:val="18"/>
                <w:szCs w:val="18"/>
                <w:lang w:eastAsia="en-GB"/>
              </w:rPr>
              <w:t>NIVEL 4</w:t>
            </w:r>
          </w:p>
        </w:tc>
        <w:tc>
          <w:tcPr>
            <w:tcW w:w="807" w:type="dxa"/>
          </w:tcPr>
          <w:p>
            <w:pPr>
              <w:spacing w:after="0" w:line="276" w:lineRule="auto"/>
              <w:jc w:val="center"/>
              <w:rPr>
                <w:rFonts w:cstheme="minorHAnsi"/>
                <w:sz w:val="18"/>
                <w:szCs w:val="18"/>
                <w:lang w:eastAsia="en-GB"/>
              </w:rPr>
            </w:pPr>
            <w:r>
              <w:rPr>
                <w:rFonts w:cstheme="minorHAnsi"/>
                <w:b/>
                <w:sz w:val="18"/>
                <w:szCs w:val="18"/>
                <w:lang w:eastAsia="en-GB"/>
              </w:rPr>
              <w:t>NIVEL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838" w:type="dxa"/>
          </w:tcPr>
          <w:p>
            <w:pPr>
              <w:spacing w:after="0" w:line="276" w:lineRule="auto"/>
              <w:rPr>
                <w:rFonts w:cstheme="minorHAnsi"/>
                <w:sz w:val="18"/>
                <w:szCs w:val="18"/>
                <w:lang w:eastAsia="en-GB"/>
              </w:rPr>
            </w:pPr>
            <w:r>
              <w:rPr>
                <w:rFonts w:cstheme="minorHAnsi"/>
                <w:sz w:val="18"/>
                <w:szCs w:val="18"/>
                <w:lang w:eastAsia="en-GB"/>
              </w:rPr>
              <w:t>6.1/SR EN 388:2016 (EN 388:2016)</w:t>
            </w:r>
          </w:p>
        </w:tc>
        <w:tc>
          <w:tcPr>
            <w:tcW w:w="4488" w:type="dxa"/>
          </w:tcPr>
          <w:p>
            <w:pPr>
              <w:spacing w:before="120" w:after="0" w:line="276" w:lineRule="auto"/>
              <w:jc w:val="both"/>
              <w:rPr>
                <w:rFonts w:cstheme="minorHAnsi"/>
                <w:sz w:val="18"/>
                <w:szCs w:val="18"/>
                <w:lang w:eastAsia="en-GB"/>
              </w:rPr>
            </w:pPr>
            <w:r>
              <w:rPr>
                <w:rFonts w:cstheme="minorHAnsi"/>
                <w:sz w:val="18"/>
                <w:szCs w:val="18"/>
                <w:lang w:eastAsia="en-GB"/>
              </w:rPr>
              <w:t>Rezistență la abraziune (număr de cicluri)</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100</w:t>
            </w:r>
          </w:p>
        </w:tc>
        <w:tc>
          <w:tcPr>
            <w:tcW w:w="808" w:type="dxa"/>
          </w:tcPr>
          <w:p>
            <w:pPr>
              <w:spacing w:after="0" w:line="276" w:lineRule="auto"/>
              <w:jc w:val="center"/>
              <w:rPr>
                <w:rFonts w:cstheme="minorHAnsi"/>
                <w:sz w:val="18"/>
                <w:szCs w:val="18"/>
                <w:lang w:eastAsia="en-GB"/>
              </w:rPr>
            </w:pPr>
            <w:r>
              <w:rPr>
                <w:rFonts w:cstheme="minorHAnsi"/>
                <w:sz w:val="18"/>
                <w:szCs w:val="18"/>
                <w:lang w:eastAsia="en-GB"/>
              </w:rPr>
              <w:t>500</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2000</w:t>
            </w:r>
          </w:p>
        </w:tc>
        <w:tc>
          <w:tcPr>
            <w:tcW w:w="808" w:type="dxa"/>
          </w:tcPr>
          <w:p>
            <w:pPr>
              <w:spacing w:after="0" w:line="276" w:lineRule="auto"/>
              <w:jc w:val="center"/>
              <w:rPr>
                <w:rFonts w:cstheme="minorHAnsi"/>
                <w:sz w:val="18"/>
                <w:szCs w:val="18"/>
                <w:lang w:eastAsia="en-GB"/>
              </w:rPr>
            </w:pPr>
            <w:r>
              <w:rPr>
                <w:rFonts w:cstheme="minorHAnsi"/>
                <w:sz w:val="18"/>
                <w:szCs w:val="18"/>
                <w:highlight w:val="lightGray"/>
                <w:lang w:eastAsia="en-GB"/>
              </w:rPr>
              <w:t>8000</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838" w:type="dxa"/>
          </w:tcPr>
          <w:p>
            <w:pPr>
              <w:spacing w:after="0" w:line="276" w:lineRule="auto"/>
              <w:rPr>
                <w:rFonts w:cstheme="minorHAnsi"/>
                <w:sz w:val="18"/>
                <w:szCs w:val="18"/>
                <w:lang w:eastAsia="en-GB"/>
              </w:rPr>
            </w:pPr>
            <w:r>
              <w:rPr>
                <w:rFonts w:cstheme="minorHAnsi"/>
                <w:sz w:val="18"/>
                <w:szCs w:val="18"/>
                <w:lang w:eastAsia="en-GB"/>
              </w:rPr>
              <w:t>6.2/SR EN 388:2016 (EN 388:2016)</w:t>
            </w:r>
          </w:p>
        </w:tc>
        <w:tc>
          <w:tcPr>
            <w:tcW w:w="4488" w:type="dxa"/>
          </w:tcPr>
          <w:p>
            <w:pPr>
              <w:spacing w:before="120" w:after="0" w:line="276" w:lineRule="auto"/>
              <w:jc w:val="both"/>
              <w:rPr>
                <w:rFonts w:cstheme="minorHAnsi"/>
                <w:sz w:val="18"/>
                <w:szCs w:val="18"/>
                <w:lang w:eastAsia="en-GB"/>
              </w:rPr>
            </w:pPr>
            <w:r>
              <w:rPr>
                <w:rFonts w:cstheme="minorHAnsi"/>
                <w:sz w:val="18"/>
                <w:szCs w:val="18"/>
                <w:lang w:eastAsia="en-GB"/>
              </w:rPr>
              <w:t>Rezistență la tăiere prin tranșare (indice)</w:t>
            </w:r>
          </w:p>
        </w:tc>
        <w:tc>
          <w:tcPr>
            <w:tcW w:w="807" w:type="dxa"/>
          </w:tcPr>
          <w:p>
            <w:pPr>
              <w:spacing w:after="0" w:line="276" w:lineRule="auto"/>
              <w:jc w:val="center"/>
              <w:rPr>
                <w:rFonts w:cstheme="minorHAnsi"/>
                <w:sz w:val="18"/>
                <w:szCs w:val="18"/>
                <w:lang w:eastAsia="en-GB"/>
              </w:rPr>
            </w:pPr>
            <w:r>
              <w:rPr>
                <w:rFonts w:cstheme="minorHAnsi"/>
                <w:sz w:val="18"/>
                <w:szCs w:val="18"/>
                <w:highlight w:val="lightGray"/>
                <w:lang w:eastAsia="en-GB"/>
              </w:rPr>
              <w:t>1,2</w:t>
            </w:r>
          </w:p>
        </w:tc>
        <w:tc>
          <w:tcPr>
            <w:tcW w:w="808" w:type="dxa"/>
          </w:tcPr>
          <w:p>
            <w:pPr>
              <w:spacing w:after="0" w:line="276" w:lineRule="auto"/>
              <w:jc w:val="center"/>
              <w:rPr>
                <w:rFonts w:cstheme="minorHAnsi"/>
                <w:sz w:val="18"/>
                <w:szCs w:val="18"/>
                <w:lang w:eastAsia="en-GB"/>
              </w:rPr>
            </w:pPr>
            <w:r>
              <w:rPr>
                <w:rFonts w:cstheme="minorHAnsi"/>
                <w:sz w:val="18"/>
                <w:szCs w:val="18"/>
                <w:lang w:eastAsia="en-GB"/>
              </w:rPr>
              <w:t>2,5</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5,0</w:t>
            </w:r>
          </w:p>
        </w:tc>
        <w:tc>
          <w:tcPr>
            <w:tcW w:w="808" w:type="dxa"/>
          </w:tcPr>
          <w:p>
            <w:pPr>
              <w:spacing w:after="0" w:line="276" w:lineRule="auto"/>
              <w:jc w:val="center"/>
              <w:rPr>
                <w:rFonts w:cstheme="minorHAnsi"/>
                <w:sz w:val="18"/>
                <w:szCs w:val="18"/>
                <w:lang w:eastAsia="en-GB"/>
              </w:rPr>
            </w:pPr>
            <w:r>
              <w:rPr>
                <w:rFonts w:cstheme="minorHAnsi"/>
                <w:sz w:val="18"/>
                <w:szCs w:val="18"/>
                <w:lang w:eastAsia="en-GB"/>
              </w:rPr>
              <w:t>10,0</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838" w:type="dxa"/>
          </w:tcPr>
          <w:p>
            <w:pPr>
              <w:spacing w:after="0" w:line="276" w:lineRule="auto"/>
              <w:rPr>
                <w:rFonts w:cstheme="minorHAnsi"/>
                <w:sz w:val="18"/>
                <w:szCs w:val="18"/>
                <w:lang w:eastAsia="en-GB"/>
              </w:rPr>
            </w:pPr>
            <w:r>
              <w:rPr>
                <w:rFonts w:cstheme="minorHAnsi"/>
                <w:sz w:val="18"/>
                <w:szCs w:val="18"/>
                <w:lang w:eastAsia="en-GB"/>
              </w:rPr>
              <w:t>6.3/SR EN 388:2016 (EN 388:2016)</w:t>
            </w:r>
          </w:p>
        </w:tc>
        <w:tc>
          <w:tcPr>
            <w:tcW w:w="4488" w:type="dxa"/>
          </w:tcPr>
          <w:p>
            <w:pPr>
              <w:spacing w:before="120" w:after="0" w:line="276" w:lineRule="auto"/>
              <w:jc w:val="both"/>
              <w:rPr>
                <w:rFonts w:cstheme="minorHAnsi"/>
                <w:sz w:val="18"/>
                <w:szCs w:val="18"/>
                <w:lang w:eastAsia="en-GB"/>
              </w:rPr>
            </w:pPr>
            <w:r>
              <w:rPr>
                <w:rFonts w:cstheme="minorHAnsi"/>
                <w:sz w:val="18"/>
                <w:szCs w:val="18"/>
                <w:lang w:eastAsia="en-GB"/>
              </w:rPr>
              <w:t>Rezistență la sfâșiere, N</w:t>
            </w:r>
          </w:p>
        </w:tc>
        <w:tc>
          <w:tcPr>
            <w:tcW w:w="807" w:type="dxa"/>
          </w:tcPr>
          <w:p>
            <w:pPr>
              <w:spacing w:after="0" w:line="276" w:lineRule="auto"/>
              <w:jc w:val="center"/>
              <w:rPr>
                <w:rFonts w:cstheme="minorHAnsi"/>
                <w:sz w:val="18"/>
                <w:szCs w:val="18"/>
                <w:highlight w:val="lightGray"/>
                <w:lang w:eastAsia="en-GB"/>
              </w:rPr>
            </w:pPr>
            <w:r>
              <w:rPr>
                <w:rFonts w:cstheme="minorHAnsi"/>
                <w:sz w:val="18"/>
                <w:szCs w:val="18"/>
                <w:lang w:eastAsia="en-GB"/>
              </w:rPr>
              <w:t>10</w:t>
            </w:r>
          </w:p>
        </w:tc>
        <w:tc>
          <w:tcPr>
            <w:tcW w:w="808" w:type="dxa"/>
          </w:tcPr>
          <w:p>
            <w:pPr>
              <w:spacing w:after="0" w:line="276" w:lineRule="auto"/>
              <w:jc w:val="center"/>
              <w:rPr>
                <w:rFonts w:cstheme="minorHAnsi"/>
                <w:sz w:val="18"/>
                <w:szCs w:val="18"/>
                <w:highlight w:val="lightGray"/>
                <w:lang w:eastAsia="en-GB"/>
              </w:rPr>
            </w:pPr>
            <w:r>
              <w:rPr>
                <w:rFonts w:cstheme="minorHAnsi"/>
                <w:sz w:val="18"/>
                <w:szCs w:val="18"/>
                <w:highlight w:val="lightGray"/>
                <w:lang w:eastAsia="en-GB"/>
              </w:rPr>
              <w:t>25</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50</w:t>
            </w:r>
          </w:p>
        </w:tc>
        <w:tc>
          <w:tcPr>
            <w:tcW w:w="808" w:type="dxa"/>
          </w:tcPr>
          <w:p>
            <w:pPr>
              <w:spacing w:after="0" w:line="276" w:lineRule="auto"/>
              <w:jc w:val="center"/>
              <w:rPr>
                <w:rFonts w:cstheme="minorHAnsi"/>
                <w:sz w:val="18"/>
                <w:szCs w:val="18"/>
                <w:lang w:eastAsia="en-GB"/>
              </w:rPr>
            </w:pPr>
            <w:r>
              <w:rPr>
                <w:rFonts w:cstheme="minorHAnsi"/>
                <w:sz w:val="18"/>
                <w:szCs w:val="18"/>
                <w:lang w:eastAsia="en-GB"/>
              </w:rPr>
              <w:t>75</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838" w:type="dxa"/>
          </w:tcPr>
          <w:p>
            <w:pPr>
              <w:spacing w:after="0" w:line="276" w:lineRule="auto"/>
              <w:rPr>
                <w:rFonts w:cstheme="minorHAnsi"/>
                <w:sz w:val="18"/>
                <w:szCs w:val="18"/>
                <w:lang w:eastAsia="en-GB"/>
              </w:rPr>
            </w:pPr>
            <w:r>
              <w:rPr>
                <w:rFonts w:cstheme="minorHAnsi"/>
                <w:sz w:val="18"/>
                <w:szCs w:val="18"/>
                <w:lang w:eastAsia="en-GB"/>
              </w:rPr>
              <w:t>6.4/SR EN 388:2016 (EN 388:2016)</w:t>
            </w:r>
          </w:p>
        </w:tc>
        <w:tc>
          <w:tcPr>
            <w:tcW w:w="4488" w:type="dxa"/>
          </w:tcPr>
          <w:p>
            <w:pPr>
              <w:spacing w:before="120" w:after="0" w:line="276" w:lineRule="auto"/>
              <w:jc w:val="both"/>
              <w:rPr>
                <w:rFonts w:cstheme="minorHAnsi"/>
                <w:sz w:val="18"/>
                <w:szCs w:val="18"/>
                <w:highlight w:val="lightGray"/>
                <w:lang w:eastAsia="en-GB"/>
              </w:rPr>
            </w:pPr>
            <w:r>
              <w:rPr>
                <w:rFonts w:cstheme="minorHAnsi"/>
                <w:sz w:val="18"/>
                <w:szCs w:val="18"/>
                <w:lang w:eastAsia="en-GB"/>
              </w:rPr>
              <w:t>Rezistență la perforare, N</w:t>
            </w:r>
          </w:p>
        </w:tc>
        <w:tc>
          <w:tcPr>
            <w:tcW w:w="807" w:type="dxa"/>
          </w:tcPr>
          <w:p>
            <w:pPr>
              <w:spacing w:after="0" w:line="276" w:lineRule="auto"/>
              <w:jc w:val="center"/>
              <w:rPr>
                <w:rFonts w:cstheme="minorHAnsi"/>
                <w:sz w:val="18"/>
                <w:szCs w:val="18"/>
                <w:highlight w:val="lightGray"/>
                <w:lang w:eastAsia="en-GB"/>
              </w:rPr>
            </w:pPr>
            <w:r>
              <w:rPr>
                <w:rFonts w:cstheme="minorHAnsi"/>
                <w:sz w:val="18"/>
                <w:szCs w:val="18"/>
                <w:highlight w:val="lightGray"/>
                <w:lang w:eastAsia="en-GB"/>
              </w:rPr>
              <w:t>20</w:t>
            </w:r>
          </w:p>
        </w:tc>
        <w:tc>
          <w:tcPr>
            <w:tcW w:w="808" w:type="dxa"/>
          </w:tcPr>
          <w:p>
            <w:pPr>
              <w:spacing w:after="0" w:line="276" w:lineRule="auto"/>
              <w:jc w:val="center"/>
              <w:rPr>
                <w:rFonts w:cstheme="minorHAnsi"/>
                <w:sz w:val="18"/>
                <w:szCs w:val="18"/>
                <w:lang w:eastAsia="en-GB"/>
              </w:rPr>
            </w:pPr>
            <w:r>
              <w:rPr>
                <w:rFonts w:cstheme="minorHAnsi"/>
                <w:sz w:val="18"/>
                <w:szCs w:val="18"/>
                <w:lang w:eastAsia="en-GB"/>
              </w:rPr>
              <w:t>60</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100</w:t>
            </w:r>
          </w:p>
        </w:tc>
        <w:tc>
          <w:tcPr>
            <w:tcW w:w="808" w:type="dxa"/>
          </w:tcPr>
          <w:p>
            <w:pPr>
              <w:spacing w:after="0" w:line="276" w:lineRule="auto"/>
              <w:jc w:val="center"/>
              <w:rPr>
                <w:rFonts w:cstheme="minorHAnsi"/>
                <w:sz w:val="18"/>
                <w:szCs w:val="18"/>
                <w:lang w:eastAsia="en-GB"/>
              </w:rPr>
            </w:pPr>
            <w:r>
              <w:rPr>
                <w:rFonts w:cstheme="minorHAnsi"/>
                <w:sz w:val="18"/>
                <w:szCs w:val="18"/>
                <w:lang w:eastAsia="en-GB"/>
              </w:rPr>
              <w:t>150</w:t>
            </w:r>
          </w:p>
        </w:tc>
        <w:tc>
          <w:tcPr>
            <w:tcW w:w="807" w:type="dxa"/>
          </w:tcPr>
          <w:p>
            <w:pPr>
              <w:spacing w:after="0" w:line="276" w:lineRule="auto"/>
              <w:jc w:val="center"/>
              <w:rPr>
                <w:rFonts w:cstheme="minorHAnsi"/>
                <w:sz w:val="18"/>
                <w:szCs w:val="18"/>
                <w:lang w:eastAsia="en-GB"/>
              </w:rPr>
            </w:pPr>
            <w:r>
              <w:rPr>
                <w:rFonts w:cstheme="minorHAnsi"/>
                <w:sz w:val="18"/>
                <w:szCs w:val="18"/>
                <w:lang w:eastAsia="en-GB"/>
              </w:rPr>
              <w:t>-</w:t>
            </w:r>
          </w:p>
        </w:tc>
      </w:tr>
    </w:tbl>
    <w:p>
      <w:pPr>
        <w:spacing w:before="240" w:after="120" w:line="276" w:lineRule="auto"/>
        <w:jc w:val="both"/>
        <w:rPr>
          <w:rFonts w:cstheme="minorHAnsi"/>
          <w:b/>
          <w:sz w:val="18"/>
          <w:szCs w:val="18"/>
          <w:u w:val="single"/>
        </w:rPr>
      </w:pPr>
      <w:r>
        <w:rPr>
          <w:rFonts w:cstheme="minorHAnsi"/>
          <w:b/>
          <w:sz w:val="18"/>
          <w:szCs w:val="18"/>
          <w:u w:val="single"/>
        </w:rPr>
        <w:t>INSTRUCȚIUNI DE UTILIZARE:</w:t>
      </w:r>
    </w:p>
    <w:p>
      <w:pPr>
        <w:spacing w:after="0" w:line="276" w:lineRule="auto"/>
        <w:jc w:val="both"/>
        <w:rPr>
          <w:rFonts w:cstheme="minorHAnsi"/>
          <w:sz w:val="18"/>
          <w:szCs w:val="18"/>
        </w:rPr>
      </w:pPr>
      <w:r>
        <w:rPr>
          <w:rFonts w:cstheme="minorHAnsi"/>
          <w:sz w:val="18"/>
          <w:szCs w:val="18"/>
          <w:lang w:eastAsia="en-GB"/>
        </w:rPr>
        <w:t>Mănuși de protecție, pentru protecție împotriva agresiunii fizice și mecanice cauzate prin abraziune, rupere, înțepare și tăiere cauzate de obiecte ascuțite și protecție la impact</w:t>
      </w:r>
      <w:r>
        <w:rPr>
          <w:rFonts w:cstheme="minorHAnsi"/>
          <w:sz w:val="18"/>
          <w:szCs w:val="18"/>
        </w:rPr>
        <w:t>. Potrivirea produsului trebuie verificată pe fiecare aplicație ca parte a Programului de evaluare a riscului de utilizatori finali.</w:t>
      </w:r>
    </w:p>
    <w:p>
      <w:pPr>
        <w:spacing w:after="0" w:line="276" w:lineRule="auto"/>
        <w:jc w:val="both"/>
        <w:rPr>
          <w:rFonts w:cstheme="minorHAnsi"/>
          <w:sz w:val="18"/>
          <w:szCs w:val="18"/>
        </w:rPr>
      </w:pPr>
      <w:r>
        <w:rPr>
          <w:rFonts w:cstheme="minorHAnsi"/>
          <w:sz w:val="18"/>
          <w:szCs w:val="18"/>
        </w:rPr>
        <w:t>Utilizați mănușile de protecție numai pentru scopul indicat și mărimea potrivită. Verificați mănușa înainte de utilizare. Nu folosiți niciodată mănuși cu defecte.</w:t>
      </w:r>
    </w:p>
    <w:p>
      <w:pPr>
        <w:spacing w:after="120" w:line="276" w:lineRule="auto"/>
        <w:jc w:val="both"/>
        <w:rPr>
          <w:rFonts w:cstheme="minorHAnsi"/>
          <w:sz w:val="18"/>
          <w:szCs w:val="18"/>
        </w:rPr>
      </w:pPr>
      <w:r>
        <w:rPr>
          <w:rFonts w:cstheme="minorHAnsi"/>
          <w:sz w:val="18"/>
          <w:szCs w:val="18"/>
        </w:rPr>
        <w:t>Nici unul dintre materialele sau procesele utilizate în fabricarea acestor produse este cunoscut a fi dăunătoare purtătorului.</w:t>
      </w:r>
    </w:p>
    <w:p>
      <w:pPr>
        <w:spacing w:after="0" w:line="276" w:lineRule="auto"/>
        <w:jc w:val="both"/>
        <w:rPr>
          <w:rFonts w:cstheme="minorHAnsi"/>
          <w:sz w:val="18"/>
          <w:szCs w:val="18"/>
        </w:rPr>
      </w:pPr>
      <w:r>
        <w:rPr>
          <w:rFonts w:cstheme="minorHAnsi"/>
          <w:b/>
          <w:sz w:val="18"/>
          <w:szCs w:val="18"/>
          <w:u w:val="single"/>
        </w:rPr>
        <w:t>DEPOZITARE</w:t>
      </w:r>
      <w:r>
        <w:rPr>
          <w:rFonts w:cstheme="minorHAnsi"/>
          <w:sz w:val="18"/>
          <w:szCs w:val="18"/>
        </w:rPr>
        <w:t xml:space="preserve">: </w:t>
      </w:r>
    </w:p>
    <w:p>
      <w:pPr>
        <w:spacing w:after="120" w:line="276" w:lineRule="auto"/>
        <w:jc w:val="both"/>
        <w:rPr>
          <w:rFonts w:cstheme="minorHAnsi"/>
          <w:sz w:val="18"/>
          <w:szCs w:val="18"/>
        </w:rPr>
      </w:pPr>
      <w:r>
        <w:rPr>
          <w:rFonts w:cstheme="minorHAnsi"/>
          <w:sz w:val="18"/>
          <w:szCs w:val="18"/>
        </w:rPr>
        <w:t>De preferat mănușile vor fi depozitate în loc uscat și răcoros, în ambalajul original și departe de razele directe ale soarelui.</w:t>
      </w:r>
    </w:p>
    <w:p>
      <w:pPr>
        <w:spacing w:after="0" w:line="276" w:lineRule="auto"/>
        <w:jc w:val="both"/>
        <w:rPr>
          <w:rFonts w:cstheme="minorHAnsi"/>
          <w:sz w:val="18"/>
          <w:szCs w:val="18"/>
        </w:rPr>
      </w:pPr>
      <w:r>
        <w:rPr>
          <w:rFonts w:cstheme="minorHAnsi"/>
          <w:b/>
          <w:sz w:val="18"/>
          <w:szCs w:val="18"/>
          <w:u w:val="single"/>
        </w:rPr>
        <w:t>ÎNTREȚINERE</w:t>
      </w:r>
      <w:r>
        <w:rPr>
          <w:rFonts w:cstheme="minorHAnsi"/>
          <w:sz w:val="18"/>
          <w:szCs w:val="18"/>
        </w:rPr>
        <w:t xml:space="preserve">: </w:t>
      </w:r>
    </w:p>
    <w:p>
      <w:pPr>
        <w:spacing w:after="0" w:line="276" w:lineRule="auto"/>
        <w:jc w:val="both"/>
        <w:rPr>
          <w:rFonts w:cstheme="minorHAnsi"/>
          <w:sz w:val="18"/>
          <w:szCs w:val="18"/>
        </w:rPr>
      </w:pPr>
      <w:r>
        <w:rPr>
          <w:rFonts w:cstheme="minorHAnsi"/>
          <w:sz w:val="18"/>
          <w:szCs w:val="18"/>
        </w:rPr>
        <w:t>Atât mănușile noi cât și cele folosite trebuie verificate înainte de a fi purtate pentru a vă asigura că nu sunt semne de deteriorare.</w:t>
      </w:r>
    </w:p>
    <w:p>
      <w:pPr>
        <w:spacing w:line="276" w:lineRule="auto"/>
        <w:jc w:val="both"/>
        <w:rPr>
          <w:rFonts w:cstheme="minorHAnsi"/>
          <w:b/>
          <w:i/>
          <w:sz w:val="18"/>
          <w:szCs w:val="18"/>
        </w:rPr>
      </w:pPr>
    </w:p>
    <w:p>
      <w:pPr>
        <w:spacing w:line="276" w:lineRule="auto"/>
        <w:jc w:val="center"/>
        <w:rPr>
          <w:rFonts w:cstheme="minorHAnsi"/>
          <w:b/>
          <w:i/>
          <w:sz w:val="18"/>
          <w:szCs w:val="18"/>
        </w:rPr>
      </w:pPr>
    </w:p>
    <w:sectPr>
      <w:pgSz w:w="11906" w:h="16838"/>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F47"/>
    <w:rsid w:val="0000097B"/>
    <w:rsid w:val="0004438E"/>
    <w:rsid w:val="00071A42"/>
    <w:rsid w:val="000A5E86"/>
    <w:rsid w:val="000C3F70"/>
    <w:rsid w:val="001458E2"/>
    <w:rsid w:val="001503B8"/>
    <w:rsid w:val="001770ED"/>
    <w:rsid w:val="00182BF6"/>
    <w:rsid w:val="00277420"/>
    <w:rsid w:val="002C47B9"/>
    <w:rsid w:val="003122A9"/>
    <w:rsid w:val="00313AF8"/>
    <w:rsid w:val="00376EBD"/>
    <w:rsid w:val="003F1510"/>
    <w:rsid w:val="00417A02"/>
    <w:rsid w:val="00431D87"/>
    <w:rsid w:val="0048243E"/>
    <w:rsid w:val="004A1297"/>
    <w:rsid w:val="004C23A0"/>
    <w:rsid w:val="00506F72"/>
    <w:rsid w:val="00541ECA"/>
    <w:rsid w:val="005449CC"/>
    <w:rsid w:val="0054533A"/>
    <w:rsid w:val="005A53CD"/>
    <w:rsid w:val="005E00E1"/>
    <w:rsid w:val="0064274D"/>
    <w:rsid w:val="006778D9"/>
    <w:rsid w:val="00697E15"/>
    <w:rsid w:val="007607F7"/>
    <w:rsid w:val="00782A52"/>
    <w:rsid w:val="007B7CE6"/>
    <w:rsid w:val="007E21B4"/>
    <w:rsid w:val="007F6644"/>
    <w:rsid w:val="00805BEA"/>
    <w:rsid w:val="008213B7"/>
    <w:rsid w:val="008335AA"/>
    <w:rsid w:val="00894181"/>
    <w:rsid w:val="008B016D"/>
    <w:rsid w:val="008E6DD4"/>
    <w:rsid w:val="009149F0"/>
    <w:rsid w:val="009D7C3D"/>
    <w:rsid w:val="00A10871"/>
    <w:rsid w:val="00A348EF"/>
    <w:rsid w:val="00AA698C"/>
    <w:rsid w:val="00AC35CE"/>
    <w:rsid w:val="00AE0684"/>
    <w:rsid w:val="00AE2EE7"/>
    <w:rsid w:val="00B24D0F"/>
    <w:rsid w:val="00B555F3"/>
    <w:rsid w:val="00B62A4A"/>
    <w:rsid w:val="00B81506"/>
    <w:rsid w:val="00B84AE4"/>
    <w:rsid w:val="00B85C7E"/>
    <w:rsid w:val="00BA7593"/>
    <w:rsid w:val="00C03329"/>
    <w:rsid w:val="00C13E6C"/>
    <w:rsid w:val="00C81769"/>
    <w:rsid w:val="00D429C0"/>
    <w:rsid w:val="00D6350C"/>
    <w:rsid w:val="00D71068"/>
    <w:rsid w:val="00E13B55"/>
    <w:rsid w:val="00E44F47"/>
    <w:rsid w:val="00E9746F"/>
    <w:rsid w:val="00EB4D0E"/>
    <w:rsid w:val="00EF67E5"/>
    <w:rsid w:val="00F15E31"/>
    <w:rsid w:val="00F23DAA"/>
    <w:rsid w:val="00F762CB"/>
    <w:rsid w:val="00FE7B02"/>
    <w:rsid w:val="016345C7"/>
    <w:rsid w:val="04505BBB"/>
    <w:rsid w:val="09A26E6E"/>
    <w:rsid w:val="19C15D12"/>
    <w:rsid w:val="24497B8F"/>
    <w:rsid w:val="6D9C179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o-RO"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o-RO"/>
    </w:rPr>
  </w:style>
  <w:style w:type="table" w:styleId="5">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No Spacing"/>
    <w:qFormat/>
    <w:uiPriority w:val="1"/>
    <w:pPr>
      <w:spacing w:after="0" w:line="240" w:lineRule="auto"/>
    </w:pPr>
    <w:rPr>
      <w:rFonts w:asciiTheme="minorHAnsi" w:hAnsiTheme="minorHAnsi" w:eastAsiaTheme="minorHAnsi" w:cstheme="minorBidi"/>
      <w:sz w:val="22"/>
      <w:szCs w:val="22"/>
      <w:lang w:val="en-GB"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452207-2BAF-4D9A-A446-0020ABA086AE}">
  <ds:schemaRefs/>
</ds:datastoreItem>
</file>

<file path=docProps/app.xml><?xml version="1.0" encoding="utf-8"?>
<Properties xmlns="http://schemas.openxmlformats.org/officeDocument/2006/extended-properties" xmlns:vt="http://schemas.openxmlformats.org/officeDocument/2006/docPropsVTypes">
  <Template>Normal.dotm</Template>
  <Pages>1</Pages>
  <Words>368</Words>
  <Characters>2135</Characters>
  <Lines>17</Lines>
  <Paragraphs>4</Paragraphs>
  <TotalTime>1</TotalTime>
  <ScaleCrop>false</ScaleCrop>
  <LinksUpToDate>false</LinksUpToDate>
  <CharactersWithSpaces>2499</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2020-10-13T06:30:00Z</dcterms:created>
  <dc:creator>user</dc:creator>
  <cp:lastModifiedBy>user01</cp:lastModifiedBy>
  <dcterms:modified xsi:type="dcterms:W3CDTF">2021-12-20T12:21:05Z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71C0874F833145B6974C104C354E1E43</vt:lpwstr>
  </property>
</Properties>
</file>