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76" w:lineRule="auto"/>
        <w:jc w:val="center"/>
        <w:rPr>
          <w:b/>
          <w:sz w:val="28"/>
        </w:rPr>
      </w:pPr>
    </w:p>
    <w:p>
      <w:pPr>
        <w:spacing w:after="0" w:line="276" w:lineRule="auto"/>
        <w:jc w:val="center"/>
        <w:rPr>
          <w:b/>
          <w:sz w:val="28"/>
        </w:rPr>
      </w:pPr>
      <w:r>
        <w:rPr>
          <w:b/>
          <w:sz w:val="28"/>
          <w:lang w:eastAsia="ro-RO"/>
        </w:rPr>
        <w:drawing>
          <wp:anchor distT="0" distB="0" distL="114300" distR="114300" simplePos="0" relativeHeight="251659264" behindDoc="0" locked="0" layoutInCell="1" allowOverlap="1">
            <wp:simplePos x="0" y="0"/>
            <wp:positionH relativeFrom="margin">
              <wp:posOffset>2385695</wp:posOffset>
            </wp:positionH>
            <wp:positionV relativeFrom="margin">
              <wp:posOffset>251460</wp:posOffset>
            </wp:positionV>
            <wp:extent cx="1657350" cy="46672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1657350" cy="466725"/>
                    </a:xfrm>
                    <a:prstGeom prst="rect">
                      <a:avLst/>
                    </a:prstGeom>
                  </pic:spPr>
                </pic:pic>
              </a:graphicData>
            </a:graphic>
          </wp:anchor>
        </w:drawing>
      </w:r>
    </w:p>
    <w:p>
      <w:pPr>
        <w:spacing w:after="0" w:line="276" w:lineRule="auto"/>
        <w:jc w:val="center"/>
        <w:rPr>
          <w:b/>
          <w:sz w:val="28"/>
        </w:rPr>
      </w:pPr>
    </w:p>
    <w:p>
      <w:pPr>
        <w:spacing w:after="0" w:line="276" w:lineRule="auto"/>
        <w:jc w:val="center"/>
        <w:rPr>
          <w:b/>
          <w:sz w:val="28"/>
        </w:rPr>
      </w:pPr>
    </w:p>
    <w:p>
      <w:pPr>
        <w:spacing w:after="0" w:line="276" w:lineRule="auto"/>
        <w:jc w:val="center"/>
        <w:rPr>
          <w:b/>
        </w:rPr>
      </w:pPr>
      <w:r>
        <w:rPr>
          <w:b/>
          <w:sz w:val="28"/>
        </w:rPr>
        <w:t>FIȘĂ TEHNICĂ PANTOFI STEPPER S1P SRC</w:t>
      </w:r>
    </w:p>
    <w:p>
      <w:pPr>
        <w:spacing w:after="80" w:line="276" w:lineRule="auto"/>
        <w:jc w:val="both"/>
        <w:rPr>
          <w:b/>
          <w:sz w:val="18"/>
          <w:szCs w:val="18"/>
          <w:lang w:eastAsia="ro-RO"/>
        </w:rPr>
      </w:pPr>
    </w:p>
    <w:p>
      <w:pPr>
        <w:spacing w:after="80" w:line="276" w:lineRule="auto"/>
        <w:jc w:val="both"/>
        <w:rPr>
          <w:b/>
          <w:sz w:val="18"/>
          <w:szCs w:val="18"/>
          <w:lang w:eastAsia="ro-RO"/>
        </w:rPr>
      </w:pPr>
    </w:p>
    <w:p>
      <w:pPr>
        <w:spacing w:after="80" w:line="276" w:lineRule="auto"/>
        <w:jc w:val="both"/>
        <w:rPr>
          <w:b/>
          <w:sz w:val="18"/>
          <w:szCs w:val="18"/>
          <w:lang w:eastAsia="ro-RO"/>
        </w:rPr>
      </w:pPr>
      <w:bookmarkStart w:id="0" w:name="_GoBack"/>
      <w:r>
        <w:rPr>
          <w:b/>
          <w:sz w:val="18"/>
          <w:szCs w:val="18"/>
          <w:lang w:eastAsia="ro-RO"/>
        </w:rPr>
        <w:drawing>
          <wp:anchor distT="0" distB="0" distL="114300" distR="114300" simplePos="0" relativeHeight="251660288" behindDoc="1" locked="0" layoutInCell="1" allowOverlap="1">
            <wp:simplePos x="0" y="0"/>
            <wp:positionH relativeFrom="column">
              <wp:posOffset>53975</wp:posOffset>
            </wp:positionH>
            <wp:positionV relativeFrom="paragraph">
              <wp:posOffset>174625</wp:posOffset>
            </wp:positionV>
            <wp:extent cx="1483360" cy="1120140"/>
            <wp:effectExtent l="0" t="0" r="0" b="0"/>
            <wp:wrapTight wrapText="bothSides">
              <wp:wrapPolygon>
                <wp:start x="0" y="0"/>
                <wp:lineTo x="0" y="21306"/>
                <wp:lineTo x="21360" y="21306"/>
                <wp:lineTo x="21360" y="0"/>
                <wp:lineTo x="0" y="0"/>
              </wp:wrapPolygon>
            </wp:wrapTight>
            <wp:docPr id="1" name="Picture 1" descr="C:\Users\user01\Desktop\Produse\Incaltaminte\Pantofi Stepper S1\STEPPER.pngSTEP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user01\Desktop\Produse\Incaltaminte\Pantofi Stepper S1\STEPPER.pngSTEPPER"/>
                    <pic:cNvPicPr>
                      <a:picLocks noChangeAspect="1"/>
                    </pic:cNvPicPr>
                  </pic:nvPicPr>
                  <pic:blipFill>
                    <a:blip r:embed="rId7"/>
                    <a:srcRect/>
                    <a:stretch>
                      <a:fillRect/>
                    </a:stretch>
                  </pic:blipFill>
                  <pic:spPr>
                    <a:xfrm>
                      <a:off x="0" y="0"/>
                      <a:ext cx="1483360" cy="1120140"/>
                    </a:xfrm>
                    <a:prstGeom prst="rect">
                      <a:avLst/>
                    </a:prstGeom>
                  </pic:spPr>
                </pic:pic>
              </a:graphicData>
            </a:graphic>
          </wp:anchor>
        </w:drawing>
      </w:r>
      <w:bookmarkEnd w:id="0"/>
    </w:p>
    <w:p>
      <w:pPr>
        <w:spacing w:after="80" w:line="276" w:lineRule="auto"/>
        <w:jc w:val="both"/>
        <w:rPr>
          <w:b/>
          <w:sz w:val="18"/>
          <w:szCs w:val="18"/>
          <w:lang w:eastAsia="ro-RO"/>
        </w:rPr>
      </w:pPr>
    </w:p>
    <w:p>
      <w:pPr>
        <w:spacing w:after="80" w:line="276" w:lineRule="auto"/>
        <w:jc w:val="both"/>
        <w:rPr>
          <w:rFonts w:cstheme="minorHAnsi"/>
          <w:b/>
          <w:sz w:val="20"/>
        </w:rPr>
      </w:pPr>
      <w:r>
        <w:rPr>
          <w:b/>
          <w:sz w:val="18"/>
          <w:szCs w:val="18"/>
          <w:lang w:eastAsia="ro-RO"/>
        </w:rPr>
        <w:t xml:space="preserve"> </w:t>
      </w:r>
      <w:r>
        <w:rPr>
          <w:rFonts w:cstheme="minorHAnsi"/>
          <w:b/>
          <w:sz w:val="20"/>
          <w:lang w:eastAsia="ro-RO"/>
        </w:rPr>
        <w:t>Pantofi de protecție STEPPER S1P SRC</w:t>
      </w:r>
    </w:p>
    <w:p>
      <w:pPr>
        <w:spacing w:after="80" w:line="276" w:lineRule="auto"/>
        <w:jc w:val="both"/>
        <w:rPr>
          <w:rFonts w:cstheme="minorHAnsi"/>
          <w:sz w:val="20"/>
          <w:szCs w:val="18"/>
        </w:rPr>
      </w:pPr>
      <w:r>
        <w:rPr>
          <w:rFonts w:cstheme="minorHAnsi"/>
          <w:sz w:val="20"/>
          <w:szCs w:val="18"/>
        </w:rPr>
        <w:t>Pantofi de protecție de siguranță conform Standard EN ISO 20345:2011.</w:t>
      </w:r>
    </w:p>
    <w:p>
      <w:pPr>
        <w:spacing w:after="80" w:line="276" w:lineRule="auto"/>
        <w:jc w:val="both"/>
        <w:rPr>
          <w:rFonts w:cstheme="minorHAnsi"/>
          <w:sz w:val="20"/>
          <w:szCs w:val="18"/>
        </w:rPr>
      </w:pPr>
      <w:r>
        <w:rPr>
          <w:rFonts w:cstheme="minorHAnsi"/>
          <w:b/>
          <w:sz w:val="20"/>
          <w:szCs w:val="18"/>
        </w:rPr>
        <w:t>Mărimi disponibile</w:t>
      </w:r>
      <w:r>
        <w:rPr>
          <w:rFonts w:cstheme="minorHAnsi"/>
          <w:sz w:val="20"/>
          <w:szCs w:val="18"/>
        </w:rPr>
        <w:t>: 3</w:t>
      </w:r>
      <w:r>
        <w:rPr>
          <w:rFonts w:hint="default" w:cstheme="minorHAnsi"/>
          <w:sz w:val="20"/>
          <w:szCs w:val="18"/>
          <w:lang w:val="en-US"/>
        </w:rPr>
        <w:t>7</w:t>
      </w:r>
      <w:r>
        <w:rPr>
          <w:rFonts w:cstheme="minorHAnsi"/>
          <w:sz w:val="20"/>
          <w:szCs w:val="18"/>
        </w:rPr>
        <w:t>-47 (EU).</w:t>
      </w:r>
    </w:p>
    <w:p>
      <w:pPr>
        <w:spacing w:after="80" w:line="276" w:lineRule="auto"/>
        <w:jc w:val="both"/>
        <w:rPr>
          <w:rFonts w:cstheme="minorHAnsi"/>
          <w:sz w:val="20"/>
          <w:szCs w:val="18"/>
        </w:rPr>
      </w:pPr>
    </w:p>
    <w:p>
      <w:pPr>
        <w:spacing w:after="80" w:line="276" w:lineRule="auto"/>
        <w:jc w:val="both"/>
        <w:rPr>
          <w:rFonts w:cstheme="minorHAnsi"/>
          <w:sz w:val="20"/>
          <w:szCs w:val="20"/>
        </w:rPr>
      </w:pPr>
      <w:r>
        <w:rPr>
          <w:rFonts w:cstheme="minorHAnsi"/>
          <w:sz w:val="20"/>
          <w:szCs w:val="18"/>
        </w:rPr>
        <w:t xml:space="preserve">Încălțămintea este proiectată astfel încât să respecte prevederile Regulamentului (UE) 2016/425 și cerințele esențiale de securiltate și </w:t>
      </w:r>
      <w:r>
        <w:rPr>
          <w:rFonts w:cstheme="minorHAnsi"/>
          <w:sz w:val="20"/>
          <w:szCs w:val="20"/>
        </w:rPr>
        <w:t>sănătate corespunzătoare domeniului de utilizare preconizat.</w:t>
      </w:r>
    </w:p>
    <w:p>
      <w:pPr>
        <w:spacing w:after="80" w:line="276" w:lineRule="auto"/>
        <w:jc w:val="both"/>
        <w:rPr>
          <w:rFonts w:cstheme="minorHAnsi"/>
          <w:sz w:val="20"/>
          <w:szCs w:val="20"/>
          <w:shd w:val="clear" w:color="auto" w:fill="FFFFFF"/>
        </w:rPr>
      </w:pPr>
      <w:r>
        <w:rPr>
          <w:rFonts w:cstheme="minorHAnsi"/>
          <w:b/>
          <w:sz w:val="20"/>
          <w:szCs w:val="20"/>
          <w:shd w:val="clear" w:color="auto" w:fill="FFFFFF"/>
        </w:rPr>
        <w:t>Descriere</w:t>
      </w:r>
      <w:r>
        <w:rPr>
          <w:rFonts w:cstheme="minorHAnsi"/>
          <w:sz w:val="20"/>
          <w:szCs w:val="20"/>
          <w:shd w:val="clear" w:color="auto" w:fill="FFFFFF"/>
        </w:rPr>
        <w:t>: Pantof jos fără metal, cu vârf din fibră de sticlă și talpă intermediară compozită, cu o grosime de 4 mm. Calitate SRC antiderapantă. Caracteristici principale: - Talpă largă, cu potrivire 11 - Ușoară și flexibilă datorită poliuretanului bi-densitate cu celule largi și a grosimii reduse a tălpii - Designul plat al benzii de rulare îl face potrivit pentru medii cu sol neted și nivel redus de rugozitate.</w:t>
      </w:r>
    </w:p>
    <w:p>
      <w:pPr>
        <w:spacing w:after="0" w:line="276" w:lineRule="auto"/>
        <w:jc w:val="both"/>
        <w:rPr>
          <w:rFonts w:cstheme="minorHAnsi"/>
          <w:sz w:val="20"/>
          <w:szCs w:val="18"/>
          <w:shd w:val="clear" w:color="auto" w:fill="FFFFFF"/>
        </w:rPr>
      </w:pPr>
      <w:r>
        <w:rPr>
          <w:rFonts w:cstheme="minorHAnsi"/>
          <w:b/>
          <w:sz w:val="20"/>
          <w:szCs w:val="18"/>
          <w:shd w:val="clear" w:color="auto" w:fill="FFFFFF"/>
        </w:rPr>
        <w:t>Materiale</w:t>
      </w:r>
      <w:r>
        <w:rPr>
          <w:rFonts w:cstheme="minorHAnsi"/>
          <w:sz w:val="20"/>
          <w:szCs w:val="18"/>
          <w:shd w:val="clear" w:color="auto" w:fill="FFFFFF"/>
        </w:rPr>
        <w:t>:</w:t>
      </w:r>
    </w:p>
    <w:p>
      <w:pPr>
        <w:spacing w:after="80" w:line="276" w:lineRule="auto"/>
        <w:jc w:val="both"/>
        <w:rPr>
          <w:rFonts w:cstheme="minorHAnsi"/>
          <w:sz w:val="20"/>
          <w:szCs w:val="18"/>
          <w:shd w:val="clear" w:color="auto" w:fill="FFFFFF"/>
        </w:rPr>
      </w:pPr>
      <w:r>
        <w:rPr>
          <w:rFonts w:cstheme="minorHAnsi"/>
          <w:sz w:val="20"/>
          <w:szCs w:val="18"/>
          <w:shd w:val="clear" w:color="auto" w:fill="FFFFFF"/>
        </w:rPr>
        <w:t xml:space="preserve">Partea superioară, din țesătură  AirMesh, garantează respirabilitate și confort maxim. Talpa PU / PU are o secțiune mijlocie, cu canelură, concepută pentru a spori aderența pe scări. Branțurile AIR-MIX sunt anatomice și respirabile și datorită materialului EVA multi-perforat, conferă pantofului proprietăți anti-șoc cu o grosime variabilă: 3 mm în față și 10 mm în zona călcâiului. Căptușeala este din poliester 3D-TEX și permite ventilația piciorului și reduce efectul de transpirație. </w:t>
      </w:r>
    </w:p>
    <w:p>
      <w:pPr>
        <w:spacing w:after="80" w:line="276" w:lineRule="auto"/>
        <w:jc w:val="both"/>
        <w:rPr>
          <w:rFonts w:cstheme="minorHAnsi"/>
          <w:sz w:val="20"/>
          <w:szCs w:val="18"/>
        </w:rPr>
      </w:pPr>
      <w:r>
        <w:rPr>
          <w:rFonts w:cstheme="minorHAnsi"/>
          <w:b/>
          <w:sz w:val="20"/>
          <w:szCs w:val="18"/>
        </w:rPr>
        <w:t>Aplicații și industrii</w:t>
      </w:r>
      <w:r>
        <w:rPr>
          <w:rFonts w:cstheme="minorHAnsi"/>
          <w:sz w:val="20"/>
          <w:szCs w:val="18"/>
        </w:rPr>
        <w:t>: sector sanitar, industria alimentara, construcții interioare,manipulare si logistică, lucrări de întreținere, uz general.</w:t>
      </w:r>
    </w:p>
    <w:p>
      <w:pPr>
        <w:spacing w:after="80" w:line="276" w:lineRule="auto"/>
        <w:jc w:val="both"/>
        <w:rPr>
          <w:rFonts w:hint="default" w:cstheme="minorHAnsi"/>
          <w:sz w:val="20"/>
          <w:lang w:val="en-US"/>
        </w:rPr>
      </w:pPr>
      <w:r>
        <w:rPr>
          <w:rFonts w:cstheme="minorHAnsi"/>
          <w:b/>
          <w:bCs w:val="0"/>
          <w:sz w:val="20"/>
        </w:rPr>
        <w:t>Pantoful Stepper S1 SRC</w:t>
      </w:r>
      <w:r>
        <w:rPr>
          <w:rFonts w:cstheme="minorHAnsi"/>
          <w:bCs/>
          <w:sz w:val="20"/>
        </w:rPr>
        <w:t xml:space="preserve"> </w:t>
      </w:r>
      <w:r>
        <w:rPr>
          <w:rFonts w:cstheme="minorHAnsi"/>
          <w:sz w:val="20"/>
        </w:rPr>
        <w:t>este în conformitate cu</w:t>
      </w:r>
      <w:r>
        <w:rPr>
          <w:rFonts w:hint="default" w:cstheme="minorHAnsi"/>
          <w:sz w:val="20"/>
          <w:lang w:val="en-US"/>
        </w:rPr>
        <w:t>:</w:t>
      </w:r>
    </w:p>
    <w:p>
      <w:pPr>
        <w:numPr>
          <w:ilvl w:val="0"/>
          <w:numId w:val="1"/>
        </w:numPr>
        <w:spacing w:after="80" w:line="276" w:lineRule="auto"/>
        <w:ind w:left="420" w:leftChars="0" w:hanging="420" w:firstLineChars="0"/>
        <w:jc w:val="both"/>
        <w:rPr>
          <w:rFonts w:cstheme="minorHAnsi"/>
          <w:sz w:val="20"/>
          <w:szCs w:val="18"/>
        </w:rPr>
      </w:pPr>
      <w:r>
        <w:rPr>
          <w:rFonts w:cstheme="minorHAnsi"/>
          <w:sz w:val="20"/>
        </w:rPr>
        <w:t xml:space="preserve"> Regulamentul (UE) 2016/425 al Parlamentului European privind echipamentele individuale de </w:t>
      </w:r>
      <w:r>
        <w:rPr>
          <w:rFonts w:cstheme="minorHAnsi"/>
          <w:sz w:val="20"/>
          <w:szCs w:val="18"/>
        </w:rPr>
        <w:t xml:space="preserve">protecție </w:t>
      </w:r>
    </w:p>
    <w:p>
      <w:pPr>
        <w:numPr>
          <w:ilvl w:val="0"/>
          <w:numId w:val="1"/>
        </w:numPr>
        <w:spacing w:after="80" w:line="276" w:lineRule="auto"/>
        <w:ind w:left="420" w:leftChars="0" w:hanging="420" w:firstLineChars="0"/>
        <w:jc w:val="both"/>
        <w:rPr>
          <w:rFonts w:cstheme="minorHAnsi"/>
          <w:sz w:val="20"/>
          <w:szCs w:val="18"/>
        </w:rPr>
      </w:pPr>
      <w:r>
        <w:rPr>
          <w:rFonts w:cstheme="minorHAnsi"/>
          <w:sz w:val="20"/>
          <w:szCs w:val="18"/>
        </w:rPr>
        <w:t xml:space="preserve">Standardul european armonizat EN ISO 20345:2011: Echipament individual de protecție. </w:t>
      </w:r>
    </w:p>
    <w:p>
      <w:pPr>
        <w:spacing w:after="80" w:line="276" w:lineRule="auto"/>
        <w:jc w:val="both"/>
        <w:rPr>
          <w:rFonts w:cstheme="minorHAnsi"/>
          <w:sz w:val="20"/>
          <w:szCs w:val="18"/>
        </w:rPr>
      </w:pPr>
      <w:r>
        <w:rPr>
          <w:rFonts w:cstheme="minorHAnsi"/>
          <w:sz w:val="20"/>
          <w:szCs w:val="24"/>
          <w:lang w:eastAsia="en-GB"/>
        </w:rPr>
        <w:t>Produsele sunt identice cu modelul care a făcut obiectul certificării prin examinare EC de tip prevăzută în Anexa V din Regulamentul (UE) 425/2016 privind echipamentele individuale de protecție precum și în articolul 10 al Directivei europene 89/686/CEE amendata, pentru care s-a emis Certificatul de examinare UE de tip Nr. LECFI00381871</w:t>
      </w:r>
      <w:r>
        <w:rPr>
          <w:rFonts w:hint="default" w:cstheme="minorHAnsi"/>
          <w:sz w:val="20"/>
          <w:szCs w:val="24"/>
          <w:lang w:val="en-US" w:eastAsia="en-GB"/>
        </w:rPr>
        <w:t xml:space="preserve"> </w:t>
      </w:r>
      <w:r>
        <w:rPr>
          <w:rFonts w:cstheme="minorHAnsi"/>
          <w:sz w:val="20"/>
          <w:szCs w:val="24"/>
          <w:lang w:eastAsia="en-GB"/>
        </w:rPr>
        <w:t>29.10.2020 eliberat de</w:t>
      </w:r>
      <w:r>
        <w:rPr>
          <w:rFonts w:cstheme="minorHAnsi"/>
          <w:sz w:val="18"/>
          <w:szCs w:val="18"/>
          <w:lang w:eastAsia="en-GB"/>
        </w:rPr>
        <w:t xml:space="preserve"> </w:t>
      </w:r>
      <w:r>
        <w:rPr>
          <w:rFonts w:cstheme="minorHAnsi"/>
          <w:sz w:val="20"/>
          <w:szCs w:val="24"/>
          <w:lang w:eastAsia="en-GB"/>
        </w:rPr>
        <w:t>de ITS TESTING SERVICES (UK) LTD UNITED KINGDOM.</w:t>
      </w:r>
    </w:p>
    <w:p>
      <w:pPr>
        <w:spacing w:after="0" w:line="276" w:lineRule="auto"/>
        <w:jc w:val="both"/>
        <w:rPr>
          <w:rFonts w:cstheme="minorHAnsi"/>
          <w:sz w:val="20"/>
          <w:szCs w:val="18"/>
        </w:rPr>
      </w:pPr>
      <w:r>
        <w:rPr>
          <w:rFonts w:cstheme="minorHAnsi"/>
          <w:b/>
          <w:sz w:val="20"/>
          <w:szCs w:val="18"/>
        </w:rPr>
        <w:t>Depozitare și întreținere</w:t>
      </w:r>
      <w:r>
        <w:rPr>
          <w:rFonts w:cstheme="minorHAnsi"/>
          <w:sz w:val="20"/>
          <w:szCs w:val="18"/>
        </w:rPr>
        <w:t>:</w:t>
      </w:r>
    </w:p>
    <w:p>
      <w:pPr>
        <w:spacing w:after="0" w:line="276" w:lineRule="auto"/>
        <w:jc w:val="both"/>
        <w:rPr>
          <w:rFonts w:cstheme="minorHAnsi"/>
          <w:sz w:val="20"/>
          <w:szCs w:val="18"/>
        </w:rPr>
      </w:pPr>
      <w:r>
        <w:rPr>
          <w:rFonts w:cstheme="minorHAnsi"/>
          <w:sz w:val="20"/>
          <w:szCs w:val="18"/>
        </w:rPr>
        <w:t>Încălțămintea de protecție trebuie păstrată în ambalajul original, temperatura de depozitare nu trebuie să depășească 35° C, umiditatea trebuie să fie mai mică de 80% și fără influența razelor solare directe. Încălțămintea trebuie curățată după fiecare utilizare. Uscați încălțămintea care nu se află în proximitate sau în contact direct cu sobe sau alte surse de căldură. Realizați tratamentul periodic al fețelor cu produse adecvate care conțin ceară, grăsimi, silicon etc. Evitați contactul cu substanțele chimice agresive și temperaturile extreme. Verificați starea bună înainte de fiecare utilizare.</w:t>
      </w:r>
    </w:p>
    <w:sectPr>
      <w:pgSz w:w="11907" w:h="16839"/>
      <w:pgMar w:top="720" w:right="720" w:bottom="720" w:left="720"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415C73"/>
    <w:multiLevelType w:val="singleLevel"/>
    <w:tmpl w:val="A2415C73"/>
    <w:lvl w:ilvl="0" w:tentative="0">
      <w:start w:val="1"/>
      <w:numFmt w:val="bullet"/>
      <w:lvlText w:val=""/>
      <w:lvlJc w:val="left"/>
      <w:pPr>
        <w:tabs>
          <w:tab w:val="left" w:pos="420"/>
        </w:tabs>
        <w:ind w:left="420" w:leftChars="0" w:hanging="420" w:firstLineChars="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ocumentProtection w:enforcement="0"/>
  <w:defaultTabStop w:val="720"/>
  <w:hyphenationZone w:val="425"/>
  <w:drawingGridHorizontalSpacing w:val="12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65D"/>
    <w:rsid w:val="0002678C"/>
    <w:rsid w:val="00042076"/>
    <w:rsid w:val="0008596E"/>
    <w:rsid w:val="00086301"/>
    <w:rsid w:val="000916CE"/>
    <w:rsid w:val="0009276D"/>
    <w:rsid w:val="00095702"/>
    <w:rsid w:val="00096447"/>
    <w:rsid w:val="000A288F"/>
    <w:rsid w:val="000B0322"/>
    <w:rsid w:val="000D0172"/>
    <w:rsid w:val="000E2EDE"/>
    <w:rsid w:val="00103FA4"/>
    <w:rsid w:val="001055D5"/>
    <w:rsid w:val="00115973"/>
    <w:rsid w:val="00135AD1"/>
    <w:rsid w:val="00147509"/>
    <w:rsid w:val="00155AB8"/>
    <w:rsid w:val="00164F35"/>
    <w:rsid w:val="00171D3C"/>
    <w:rsid w:val="00185200"/>
    <w:rsid w:val="00190421"/>
    <w:rsid w:val="001B5D48"/>
    <w:rsid w:val="001C6229"/>
    <w:rsid w:val="001E37CE"/>
    <w:rsid w:val="001E6C8C"/>
    <w:rsid w:val="00203679"/>
    <w:rsid w:val="002040DA"/>
    <w:rsid w:val="00220B23"/>
    <w:rsid w:val="0023619C"/>
    <w:rsid w:val="002428C3"/>
    <w:rsid w:val="00261EF2"/>
    <w:rsid w:val="00274829"/>
    <w:rsid w:val="00281487"/>
    <w:rsid w:val="002831B7"/>
    <w:rsid w:val="00284874"/>
    <w:rsid w:val="00293642"/>
    <w:rsid w:val="00296DF1"/>
    <w:rsid w:val="002C3C17"/>
    <w:rsid w:val="002F046B"/>
    <w:rsid w:val="003008D3"/>
    <w:rsid w:val="00312C50"/>
    <w:rsid w:val="00336D63"/>
    <w:rsid w:val="00354255"/>
    <w:rsid w:val="00357518"/>
    <w:rsid w:val="003672EC"/>
    <w:rsid w:val="00382635"/>
    <w:rsid w:val="003A6054"/>
    <w:rsid w:val="003A63E5"/>
    <w:rsid w:val="003B4B69"/>
    <w:rsid w:val="003B60EA"/>
    <w:rsid w:val="003B7A1F"/>
    <w:rsid w:val="003C3885"/>
    <w:rsid w:val="003C7A65"/>
    <w:rsid w:val="0040250A"/>
    <w:rsid w:val="00407974"/>
    <w:rsid w:val="004133A7"/>
    <w:rsid w:val="004133AF"/>
    <w:rsid w:val="004158AD"/>
    <w:rsid w:val="004176E5"/>
    <w:rsid w:val="004509BA"/>
    <w:rsid w:val="00452EEB"/>
    <w:rsid w:val="00471835"/>
    <w:rsid w:val="0048267F"/>
    <w:rsid w:val="004829F6"/>
    <w:rsid w:val="0049661D"/>
    <w:rsid w:val="004B23F1"/>
    <w:rsid w:val="004C11A6"/>
    <w:rsid w:val="004C2E32"/>
    <w:rsid w:val="004D760A"/>
    <w:rsid w:val="00542730"/>
    <w:rsid w:val="00542EA8"/>
    <w:rsid w:val="0054617B"/>
    <w:rsid w:val="00573D81"/>
    <w:rsid w:val="0059746F"/>
    <w:rsid w:val="005A41E0"/>
    <w:rsid w:val="005C566A"/>
    <w:rsid w:val="005E164C"/>
    <w:rsid w:val="005E1D09"/>
    <w:rsid w:val="005E70D5"/>
    <w:rsid w:val="005F14DD"/>
    <w:rsid w:val="00605420"/>
    <w:rsid w:val="0060728A"/>
    <w:rsid w:val="00607DFA"/>
    <w:rsid w:val="00614814"/>
    <w:rsid w:val="00621F05"/>
    <w:rsid w:val="0064182E"/>
    <w:rsid w:val="00650DEB"/>
    <w:rsid w:val="00654C6C"/>
    <w:rsid w:val="00661F4A"/>
    <w:rsid w:val="00663A0E"/>
    <w:rsid w:val="00664A0A"/>
    <w:rsid w:val="00684486"/>
    <w:rsid w:val="00687542"/>
    <w:rsid w:val="00692825"/>
    <w:rsid w:val="00695C1E"/>
    <w:rsid w:val="006A17D0"/>
    <w:rsid w:val="006C3473"/>
    <w:rsid w:val="006E191E"/>
    <w:rsid w:val="006F4E06"/>
    <w:rsid w:val="007035A3"/>
    <w:rsid w:val="00710FE4"/>
    <w:rsid w:val="007311DA"/>
    <w:rsid w:val="0073602E"/>
    <w:rsid w:val="00746AEB"/>
    <w:rsid w:val="007629EF"/>
    <w:rsid w:val="0076498D"/>
    <w:rsid w:val="00794DEF"/>
    <w:rsid w:val="007A0996"/>
    <w:rsid w:val="007B3581"/>
    <w:rsid w:val="007C4E67"/>
    <w:rsid w:val="007E18CC"/>
    <w:rsid w:val="007E24E2"/>
    <w:rsid w:val="008001F5"/>
    <w:rsid w:val="00826C9C"/>
    <w:rsid w:val="00840DD1"/>
    <w:rsid w:val="00843F6F"/>
    <w:rsid w:val="00846874"/>
    <w:rsid w:val="0088180D"/>
    <w:rsid w:val="00893B52"/>
    <w:rsid w:val="008973D1"/>
    <w:rsid w:val="008A2356"/>
    <w:rsid w:val="008B0974"/>
    <w:rsid w:val="008B79B0"/>
    <w:rsid w:val="008C0A46"/>
    <w:rsid w:val="008C36BD"/>
    <w:rsid w:val="008C42AF"/>
    <w:rsid w:val="008F4CCC"/>
    <w:rsid w:val="008F5112"/>
    <w:rsid w:val="00903A82"/>
    <w:rsid w:val="0092161E"/>
    <w:rsid w:val="00950E12"/>
    <w:rsid w:val="009645A6"/>
    <w:rsid w:val="00996E0A"/>
    <w:rsid w:val="009A3EF8"/>
    <w:rsid w:val="009A7F4A"/>
    <w:rsid w:val="009B3D93"/>
    <w:rsid w:val="009C257B"/>
    <w:rsid w:val="009C31E2"/>
    <w:rsid w:val="009D60C5"/>
    <w:rsid w:val="009D64D3"/>
    <w:rsid w:val="009E768A"/>
    <w:rsid w:val="009F199D"/>
    <w:rsid w:val="00A25AB1"/>
    <w:rsid w:val="00A344AE"/>
    <w:rsid w:val="00A361E2"/>
    <w:rsid w:val="00A40CCD"/>
    <w:rsid w:val="00A42CAA"/>
    <w:rsid w:val="00A61DFF"/>
    <w:rsid w:val="00A62157"/>
    <w:rsid w:val="00A64C32"/>
    <w:rsid w:val="00A660FA"/>
    <w:rsid w:val="00A81C12"/>
    <w:rsid w:val="00A83269"/>
    <w:rsid w:val="00A877F5"/>
    <w:rsid w:val="00A96FCD"/>
    <w:rsid w:val="00AB1424"/>
    <w:rsid w:val="00AC54BF"/>
    <w:rsid w:val="00AE64BB"/>
    <w:rsid w:val="00B038A3"/>
    <w:rsid w:val="00B05CB7"/>
    <w:rsid w:val="00B5612E"/>
    <w:rsid w:val="00B63BA4"/>
    <w:rsid w:val="00B63DCA"/>
    <w:rsid w:val="00B64B94"/>
    <w:rsid w:val="00B725F7"/>
    <w:rsid w:val="00B759A6"/>
    <w:rsid w:val="00B9332B"/>
    <w:rsid w:val="00BA270F"/>
    <w:rsid w:val="00BB4EB6"/>
    <w:rsid w:val="00BE7D2B"/>
    <w:rsid w:val="00BF5488"/>
    <w:rsid w:val="00C1593F"/>
    <w:rsid w:val="00C17B90"/>
    <w:rsid w:val="00C24BBF"/>
    <w:rsid w:val="00C461C7"/>
    <w:rsid w:val="00C6536D"/>
    <w:rsid w:val="00C678F3"/>
    <w:rsid w:val="00C829DB"/>
    <w:rsid w:val="00C86E8A"/>
    <w:rsid w:val="00C90121"/>
    <w:rsid w:val="00C943AE"/>
    <w:rsid w:val="00CD738D"/>
    <w:rsid w:val="00CD73B5"/>
    <w:rsid w:val="00CF53D1"/>
    <w:rsid w:val="00D011FD"/>
    <w:rsid w:val="00D020F8"/>
    <w:rsid w:val="00D13CE3"/>
    <w:rsid w:val="00D165A9"/>
    <w:rsid w:val="00D20293"/>
    <w:rsid w:val="00D62426"/>
    <w:rsid w:val="00D6696F"/>
    <w:rsid w:val="00D77372"/>
    <w:rsid w:val="00D903A1"/>
    <w:rsid w:val="00DC2F34"/>
    <w:rsid w:val="00DD0756"/>
    <w:rsid w:val="00DD1358"/>
    <w:rsid w:val="00DF3670"/>
    <w:rsid w:val="00DF4E5C"/>
    <w:rsid w:val="00E13247"/>
    <w:rsid w:val="00E2680F"/>
    <w:rsid w:val="00E349FB"/>
    <w:rsid w:val="00E539BD"/>
    <w:rsid w:val="00E609A9"/>
    <w:rsid w:val="00E71BBC"/>
    <w:rsid w:val="00E76996"/>
    <w:rsid w:val="00EB5703"/>
    <w:rsid w:val="00EC425B"/>
    <w:rsid w:val="00EC6BBA"/>
    <w:rsid w:val="00ED17BE"/>
    <w:rsid w:val="00ED26CD"/>
    <w:rsid w:val="00ED58F5"/>
    <w:rsid w:val="00ED5FB4"/>
    <w:rsid w:val="00EE1A58"/>
    <w:rsid w:val="00EE3C83"/>
    <w:rsid w:val="00F06AB6"/>
    <w:rsid w:val="00F2265D"/>
    <w:rsid w:val="00F271DB"/>
    <w:rsid w:val="00F31B3C"/>
    <w:rsid w:val="00F36562"/>
    <w:rsid w:val="00F4387D"/>
    <w:rsid w:val="00F44CBD"/>
    <w:rsid w:val="00F55CD3"/>
    <w:rsid w:val="00F55D77"/>
    <w:rsid w:val="00F57F51"/>
    <w:rsid w:val="00F60C56"/>
    <w:rsid w:val="00F647A8"/>
    <w:rsid w:val="00F90387"/>
    <w:rsid w:val="00FA64CD"/>
    <w:rsid w:val="00FB6CA2"/>
    <w:rsid w:val="00FD492B"/>
    <w:rsid w:val="00FD6E21"/>
    <w:rsid w:val="00FE69A8"/>
    <w:rsid w:val="05A43A6D"/>
    <w:rsid w:val="08A01CF2"/>
    <w:rsid w:val="38C9021F"/>
    <w:rsid w:val="4233540A"/>
    <w:rsid w:val="43D57400"/>
    <w:rsid w:val="664A177F"/>
    <w:rsid w:val="68D343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o-RO"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footer"/>
    <w:basedOn w:val="1"/>
    <w:link w:val="9"/>
    <w:unhideWhenUsed/>
    <w:uiPriority w:val="99"/>
    <w:pPr>
      <w:tabs>
        <w:tab w:val="center" w:pos="4513"/>
        <w:tab w:val="right" w:pos="9026"/>
      </w:tabs>
      <w:spacing w:after="0" w:line="240" w:lineRule="auto"/>
    </w:pPr>
  </w:style>
  <w:style w:type="paragraph" w:styleId="5">
    <w:name w:val="header"/>
    <w:basedOn w:val="1"/>
    <w:link w:val="8"/>
    <w:unhideWhenUsed/>
    <w:qFormat/>
    <w:uiPriority w:val="99"/>
    <w:pPr>
      <w:tabs>
        <w:tab w:val="center" w:pos="4513"/>
        <w:tab w:val="right" w:pos="9026"/>
      </w:tabs>
      <w:spacing w:after="0" w:line="240" w:lineRule="auto"/>
    </w:pPr>
  </w:style>
  <w:style w:type="paragraph" w:styleId="6">
    <w:name w:val="List Paragraph"/>
    <w:basedOn w:val="1"/>
    <w:qFormat/>
    <w:uiPriority w:val="34"/>
    <w:pPr>
      <w:ind w:left="720"/>
      <w:contextualSpacing/>
    </w:pPr>
  </w:style>
  <w:style w:type="character" w:styleId="7">
    <w:name w:val="Placeholder Text"/>
    <w:basedOn w:val="2"/>
    <w:semiHidden/>
    <w:qFormat/>
    <w:uiPriority w:val="99"/>
    <w:rPr>
      <w:color w:val="808080"/>
    </w:rPr>
  </w:style>
  <w:style w:type="character" w:customStyle="1" w:styleId="8">
    <w:name w:val="Header Char"/>
    <w:basedOn w:val="2"/>
    <w:link w:val="5"/>
    <w:qFormat/>
    <w:uiPriority w:val="99"/>
    <w:rPr>
      <w:lang w:val="ro-RO"/>
    </w:rPr>
  </w:style>
  <w:style w:type="character" w:customStyle="1" w:styleId="9">
    <w:name w:val="Footer Char"/>
    <w:basedOn w:val="2"/>
    <w:link w:val="4"/>
    <w:uiPriority w:val="99"/>
    <w:rPr>
      <w:lang w:val="ro-RO"/>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400</Words>
  <Characters>2321</Characters>
  <Lines>19</Lines>
  <Paragraphs>5</Paragraphs>
  <TotalTime>43</TotalTime>
  <ScaleCrop>false</ScaleCrop>
  <LinksUpToDate>false</LinksUpToDate>
  <CharactersWithSpaces>2716</CharactersWithSpaces>
  <Application>WPS Office_11.2.0.10382_F1E327BC-269C-435d-A152-05C5408002CA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2021-03-26T08:31:00Z</dcterms:created>
  <dc:creator>user</dc:creator>
  <cp:lastModifiedBy>user01</cp:lastModifiedBy>
  <dcterms:modified xsi:type="dcterms:W3CDTF">2021-12-16T07:22:31Z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1033-11.2.0.10382</vt:lpwstr>
  </property>
  <property fmtid="{D5CDD505-2E9C-101B-9397-08002B2CF9AE}" pid="3" name="ICV">
    <vt:lpwstr>56C59CA9C7CE4E24809998119AED3950</vt:lpwstr>
  </property>
</Properties>
</file>